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786CF">
      <w:pPr>
        <w:spacing w:line="600" w:lineRule="exact"/>
        <w:jc w:val="center"/>
        <w:outlineLvl w:val="0"/>
        <w:rPr>
          <w:rFonts w:ascii="Times New Roman" w:hAnsi="Times New Roman" w:eastAsia="方正小标宋简体"/>
          <w:color w:val="auto"/>
          <w:sz w:val="72"/>
          <w:szCs w:val="72"/>
          <w:highlight w:val="none"/>
        </w:rPr>
      </w:pPr>
      <w:bookmarkStart w:id="0" w:name="_Toc15377425"/>
      <w:bookmarkStart w:id="1" w:name="_Toc15396597"/>
      <w:bookmarkStart w:id="2" w:name="_Toc15378441"/>
      <w:bookmarkStart w:id="3" w:name="_Toc15396475"/>
      <w:bookmarkStart w:id="4" w:name="_Toc15377193"/>
      <w:bookmarkStart w:id="5" w:name="_Toc15306267"/>
    </w:p>
    <w:p w14:paraId="163F3864">
      <w:pPr>
        <w:rPr>
          <w:rFonts w:ascii="Times New Roman" w:hAnsi="Times New Roman"/>
        </w:rPr>
      </w:pPr>
    </w:p>
    <w:p w14:paraId="7ABB5E5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0EBAC9FF">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C3347D4">
      <w:pPr>
        <w:pStyle w:val="8"/>
        <w:jc w:val="center"/>
        <w:rPr>
          <w:rFonts w:hint="eastAsia" w:ascii="Times New Roman" w:hAnsi="Times New Roman" w:eastAsia="方正小标宋简体" w:cs="Times New Roman"/>
          <w:color w:val="auto"/>
          <w:kern w:val="2"/>
          <w:sz w:val="72"/>
          <w:szCs w:val="72"/>
          <w:highlight w:val="none"/>
          <w:lang w:val="en-US" w:eastAsia="zh-CN" w:bidi="ar-SA"/>
        </w:rPr>
      </w:pPr>
      <w:bookmarkStart w:id="6" w:name="_Toc15378442"/>
      <w:bookmarkStart w:id="7" w:name="_Toc15396598"/>
      <w:bookmarkStart w:id="8" w:name="_Toc15377426"/>
      <w:bookmarkStart w:id="9" w:name="_Toc15377194"/>
      <w:bookmarkStart w:id="10" w:name="_Toc15396476"/>
      <w:r>
        <w:rPr>
          <w:rFonts w:hint="eastAsia" w:ascii="Times New Roman" w:hAnsi="Times New Roman" w:eastAsia="方正小标宋简体" w:cs="Times New Roman"/>
          <w:color w:val="auto"/>
          <w:kern w:val="2"/>
          <w:sz w:val="72"/>
          <w:szCs w:val="72"/>
          <w:highlight w:val="none"/>
          <w:lang w:val="en-US" w:eastAsia="zh-CN" w:bidi="ar-SA"/>
        </w:rPr>
        <w:t>2024年度</w:t>
      </w:r>
      <w:bookmarkEnd w:id="5"/>
      <w:bookmarkStart w:id="11" w:name="_Toc15306268"/>
    </w:p>
    <w:p w14:paraId="27E03F1B">
      <w:pPr>
        <w:pStyle w:val="8"/>
        <w:jc w:val="center"/>
        <w:rPr>
          <w:rFonts w:hint="eastAsia" w:ascii="Times New Roman" w:eastAsia="方正小标宋简体" w:cs="Times New Roman"/>
          <w:color w:val="auto"/>
          <w:kern w:val="2"/>
          <w:sz w:val="72"/>
          <w:szCs w:val="72"/>
          <w:highlight w:val="none"/>
          <w:lang w:val="en-US" w:eastAsia="zh-CN" w:bidi="ar-SA"/>
        </w:rPr>
      </w:pPr>
      <w:r>
        <w:rPr>
          <w:rFonts w:hint="eastAsia" w:ascii="Times New Roman" w:eastAsia="方正小标宋简体" w:cs="Times New Roman"/>
          <w:color w:val="auto"/>
          <w:kern w:val="2"/>
          <w:sz w:val="72"/>
          <w:szCs w:val="72"/>
          <w:highlight w:val="none"/>
          <w:lang w:val="en-US" w:eastAsia="zh-CN" w:bidi="ar-SA"/>
        </w:rPr>
        <w:t>泸县牛滩中心卫生院</w:t>
      </w:r>
    </w:p>
    <w:p w14:paraId="3251D74B">
      <w:pPr>
        <w:pStyle w:val="8"/>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eastAsia="方正小标宋简体" w:cs="Times New Roman"/>
          <w:color w:val="auto"/>
          <w:kern w:val="2"/>
          <w:sz w:val="72"/>
          <w:szCs w:val="72"/>
          <w:highlight w:val="none"/>
          <w:lang w:val="en-US" w:eastAsia="zh-CN" w:bidi="ar-SA"/>
        </w:rPr>
        <w:t>公开</w:t>
      </w:r>
      <w:r>
        <w:rPr>
          <w:rFonts w:hint="eastAsia" w:ascii="Times New Roman" w:hAnsi="Times New Roman" w:eastAsia="方正小标宋简体" w:cs="Times New Roman"/>
          <w:color w:val="auto"/>
          <w:kern w:val="2"/>
          <w:sz w:val="72"/>
          <w:szCs w:val="72"/>
          <w:highlight w:val="none"/>
          <w:lang w:val="en-US" w:eastAsia="zh-CN" w:bidi="ar-SA"/>
        </w:rPr>
        <w:t>决算</w:t>
      </w:r>
      <w:bookmarkEnd w:id="6"/>
      <w:bookmarkEnd w:id="7"/>
      <w:bookmarkEnd w:id="8"/>
      <w:bookmarkEnd w:id="9"/>
      <w:bookmarkEnd w:id="10"/>
      <w:bookmarkEnd w:id="11"/>
    </w:p>
    <w:p w14:paraId="01BA317F">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(单位公开范本)</w:t>
      </w:r>
    </w:p>
    <w:p w14:paraId="29A7DFE0">
      <w:pPr>
        <w:pStyle w:val="8"/>
        <w:jc w:val="center"/>
        <w:rPr>
          <w:rFonts w:hint="eastAsia" w:ascii="Times New Roman" w:hAnsi="Times New Roman" w:eastAsia="方正小标宋简体" w:cs="Times New Roman"/>
          <w:color w:val="auto"/>
          <w:kern w:val="2"/>
          <w:sz w:val="72"/>
          <w:szCs w:val="72"/>
          <w:highlight w:val="none"/>
          <w:lang w:val="en-US" w:eastAsia="zh-CN" w:bidi="ar-SA"/>
        </w:rPr>
      </w:pPr>
    </w:p>
    <w:p w14:paraId="3A57FF28">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70BBEB77">
      <w:pPr>
        <w:widowControl/>
        <w:jc w:val="center"/>
        <w:rPr>
          <w:rFonts w:ascii="Times New Roman" w:hAnsi="Times New Roman" w:eastAsia="黑体" w:cstheme="minorBidi"/>
          <w:color w:val="auto"/>
          <w:sz w:val="28"/>
          <w:szCs w:val="28"/>
          <w:highlight w:val="none"/>
        </w:rPr>
      </w:pPr>
    </w:p>
    <w:p w14:paraId="3D7E0862">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bookmarkStart w:id="55" w:name="_GoBack"/>
      <w:bookmarkEnd w:id="55"/>
      <w:r>
        <w:rPr>
          <w:rFonts w:hint="eastAsia" w:ascii="Times New Roman" w:hAnsi="Times New Roman" w:eastAsia="仿宋_GB2312" w:cs="仿宋_GB2312"/>
          <w:color w:val="auto"/>
          <w:sz w:val="32"/>
          <w:szCs w:val="32"/>
          <w:highlight w:val="none"/>
        </w:rPr>
        <w:t>日</w:t>
      </w:r>
    </w:p>
    <w:p w14:paraId="652D2258">
      <w:pPr>
        <w:rPr>
          <w:rFonts w:ascii="Times New Roman" w:hAnsi="Times New Roman"/>
          <w:color w:val="auto"/>
          <w:highlight w:val="none"/>
        </w:rPr>
      </w:pPr>
    </w:p>
    <w:p w14:paraId="5B2CCA2A">
      <w:pPr>
        <w:pStyle w:val="13"/>
        <w:adjustRightInd w:val="0"/>
        <w:snapToGrid w:val="0"/>
        <w:spacing w:before="0" w:line="440" w:lineRule="exact"/>
        <w:jc w:val="left"/>
        <w:rPr>
          <w:rFonts w:cs="Times New Roman"/>
          <w:color w:val="auto"/>
          <w:sz w:val="24"/>
          <w:szCs w:val="24"/>
          <w:highlight w:val="none"/>
        </w:rPr>
      </w:pPr>
      <w:bookmarkStart w:id="12" w:name="_Toc15377196"/>
      <w:bookmarkStart w:id="13" w:name="_Toc15396599"/>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1CFCE5D8">
      <w:pPr>
        <w:pStyle w:val="14"/>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5FCA320D">
      <w:pPr>
        <w:pStyle w:val="14"/>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14:paraId="1E297CD6">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7EEC3DE9">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29B510DF">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1EF21087">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2B0E5B42">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3D3C1010">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1DC81193">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5B2DCC68">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345D2CF5">
      <w:pPr>
        <w:pStyle w:val="14"/>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701D4863">
      <w:pPr>
        <w:pStyle w:val="14"/>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14:paraId="24363556">
      <w:pPr>
        <w:pStyle w:val="14"/>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14:paraId="7F3E90CA">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4677C1CE">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162FC8C3">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4BBC6CFC">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59DFA035">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5CED349A">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7CEF0930">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A32AAAE">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FCBBB49">
      <w:pPr>
        <w:pStyle w:val="14"/>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035E9E5A">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486AC1A0">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771A13CA">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52C4A72C">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331F7895">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5399A412">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2D095FAD">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298073B4">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055851E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5096CF8A">
      <w:pPr>
        <w:pStyle w:val="5"/>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eastAsia="方正小标宋简体" w:cs="方正小标宋简体"/>
          <w:b w:val="0"/>
          <w:color w:val="auto"/>
          <w:highlight w:val="none"/>
          <w:lang w:val="en-US" w:eastAsia="zh-CN"/>
        </w:rPr>
        <w:t xml:space="preserve">  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11ADF209">
      <w:pPr>
        <w:pStyle w:val="6"/>
        <w:numPr>
          <w:ilvl w:val="0"/>
          <w:numId w:val="1"/>
        </w:numPr>
        <w:rPr>
          <w:rStyle w:val="29"/>
          <w:rFonts w:hint="eastAsia" w:ascii="黑体" w:hAnsi="黑体" w:eastAsia="黑体"/>
          <w:b w:val="0"/>
          <w:bCs w:val="0"/>
          <w:color w:val="auto"/>
          <w:highlight w:val="none"/>
          <w:lang w:eastAsia="zh-CN"/>
        </w:rPr>
      </w:pPr>
      <w:r>
        <w:rPr>
          <w:rStyle w:val="29"/>
          <w:rFonts w:hint="eastAsia" w:ascii="黑体" w:hAnsi="黑体" w:eastAsia="黑体"/>
          <w:b w:val="0"/>
          <w:bCs w:val="0"/>
          <w:color w:val="auto"/>
          <w:highlight w:val="none"/>
          <w:lang w:eastAsia="zh-CN"/>
        </w:rPr>
        <w:t>主要职责</w:t>
      </w:r>
    </w:p>
    <w:p w14:paraId="6F4AB44A">
      <w:pPr>
        <w:ind w:firstLine="420" w:firstLineChars="200"/>
      </w:pPr>
      <w:r>
        <w:rPr>
          <w:rFonts w:hint="eastAsia"/>
          <w:lang w:val="en-US" w:eastAsia="zh-CN"/>
        </w:rPr>
        <w:t xml:space="preserve">    </w:t>
      </w:r>
      <w:r>
        <w:rPr>
          <w:rFonts w:hint="eastAsia" w:ascii="仿宋_GB2312" w:hAnsi="仿宋" w:eastAsia="仿宋_GB2312"/>
          <w:sz w:val="32"/>
          <w:szCs w:val="32"/>
        </w:rPr>
        <w:t>为人民身体健康提供医疗与预防保健服务。常见病多发病诊治、护理、院前急救、巡回医疗、恢复期病人康复治疗与护理、预防保健、卫生技术人员培训、初级卫生保健规划实施、合作医疗组织与管理、卫生监督与卫生信息管</w:t>
      </w:r>
      <w:r>
        <w:rPr>
          <w:rFonts w:hint="eastAsia" w:ascii="仿宋_GB2312" w:hAnsi="仿宋" w:eastAsia="仿宋_GB2312"/>
          <w:sz w:val="32"/>
          <w:szCs w:val="32"/>
          <w:lang w:val="en-US" w:eastAsia="zh-CN"/>
        </w:rPr>
        <w:t>理。</w:t>
      </w:r>
    </w:p>
    <w:p w14:paraId="6D64FEC9">
      <w:pPr>
        <w:pStyle w:val="6"/>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008BE65B">
      <w:pPr>
        <w:ind w:firstLine="800" w:firstLineChars="250"/>
        <w:rPr>
          <w:rFonts w:hint="eastAsia" w:ascii="仿宋_GB2312" w:hAnsi="仿宋" w:eastAsia="仿宋_GB2312" w:cs="Times New Roman"/>
          <w:b w:val="0"/>
          <w:bCs w:val="0"/>
          <w:kern w:val="2"/>
          <w:sz w:val="32"/>
          <w:szCs w:val="32"/>
          <w:lang w:val="en-US" w:eastAsia="zh-CN" w:bidi="ar-SA"/>
        </w:rPr>
      </w:pPr>
      <w:r>
        <w:rPr>
          <w:rFonts w:hint="eastAsia" w:ascii="仿宋_GB2312" w:hAnsi="仿宋" w:eastAsia="仿宋_GB2312" w:cs="Times New Roman"/>
          <w:b w:val="0"/>
          <w:bCs w:val="0"/>
          <w:kern w:val="2"/>
          <w:sz w:val="32"/>
          <w:szCs w:val="32"/>
          <w:lang w:val="en-US" w:eastAsia="zh-CN" w:bidi="ar-SA"/>
        </w:rPr>
        <w:t>泸县牛滩中心卫生院是一级预算单位，属全额拨款事业单位，设门诊部、内儿科、骨外科、妇科、中医科、麻醉科等临床科室6个，设有检验科、放射科、彩超室等医技科室3个，职能科室9个。</w:t>
      </w:r>
    </w:p>
    <w:p w14:paraId="741048B2">
      <w:pPr>
        <w:pStyle w:val="2"/>
        <w:rPr>
          <w:rFonts w:hint="eastAsia" w:ascii="仿宋_GB2312" w:hAnsi="仿宋" w:eastAsia="仿宋_GB2312" w:cs="Times New Roman"/>
          <w:b w:val="0"/>
          <w:bCs w:val="0"/>
          <w:kern w:val="2"/>
          <w:sz w:val="32"/>
          <w:szCs w:val="32"/>
          <w:lang w:val="en-US" w:eastAsia="zh-CN" w:bidi="ar-SA"/>
        </w:rPr>
      </w:pPr>
    </w:p>
    <w:p w14:paraId="19C3A96F">
      <w:pPr>
        <w:pStyle w:val="3"/>
        <w:rPr>
          <w:rFonts w:hint="eastAsia" w:ascii="仿宋_GB2312" w:hAnsi="仿宋" w:eastAsia="仿宋_GB2312" w:cs="Times New Roman"/>
          <w:b w:val="0"/>
          <w:bCs w:val="0"/>
          <w:kern w:val="2"/>
          <w:sz w:val="32"/>
          <w:szCs w:val="32"/>
          <w:lang w:val="en-US" w:eastAsia="zh-CN" w:bidi="ar-SA"/>
        </w:rPr>
      </w:pPr>
    </w:p>
    <w:p w14:paraId="297F2562">
      <w:pPr>
        <w:pStyle w:val="3"/>
        <w:rPr>
          <w:rFonts w:hint="eastAsia" w:ascii="仿宋_GB2312" w:hAnsi="仿宋" w:eastAsia="仿宋_GB2312" w:cs="Times New Roman"/>
          <w:b w:val="0"/>
          <w:bCs w:val="0"/>
          <w:kern w:val="2"/>
          <w:sz w:val="32"/>
          <w:szCs w:val="32"/>
          <w:lang w:val="en-US" w:eastAsia="zh-CN" w:bidi="ar-SA"/>
        </w:rPr>
      </w:pPr>
    </w:p>
    <w:p w14:paraId="2FFE9E6C">
      <w:pPr>
        <w:pStyle w:val="3"/>
        <w:rPr>
          <w:rFonts w:hint="eastAsia" w:ascii="仿宋_GB2312" w:hAnsi="仿宋" w:eastAsia="仿宋_GB2312" w:cs="Times New Roman"/>
          <w:b w:val="0"/>
          <w:bCs w:val="0"/>
          <w:kern w:val="2"/>
          <w:sz w:val="32"/>
          <w:szCs w:val="32"/>
          <w:lang w:val="en-US" w:eastAsia="zh-CN" w:bidi="ar-SA"/>
        </w:rPr>
      </w:pPr>
    </w:p>
    <w:p w14:paraId="6556B1D6">
      <w:pPr>
        <w:pStyle w:val="3"/>
        <w:rPr>
          <w:rFonts w:hint="eastAsia" w:ascii="仿宋_GB2312" w:hAnsi="仿宋" w:eastAsia="仿宋_GB2312" w:cs="Times New Roman"/>
          <w:b w:val="0"/>
          <w:bCs w:val="0"/>
          <w:kern w:val="2"/>
          <w:sz w:val="32"/>
          <w:szCs w:val="32"/>
          <w:lang w:val="en-US" w:eastAsia="zh-CN" w:bidi="ar-SA"/>
        </w:rPr>
      </w:pPr>
    </w:p>
    <w:p w14:paraId="71912621">
      <w:pPr>
        <w:pStyle w:val="3"/>
        <w:rPr>
          <w:rFonts w:hint="eastAsia" w:ascii="仿宋_GB2312" w:hAnsi="仿宋" w:eastAsia="仿宋_GB2312" w:cs="Times New Roman"/>
          <w:b w:val="0"/>
          <w:bCs w:val="0"/>
          <w:kern w:val="2"/>
          <w:sz w:val="32"/>
          <w:szCs w:val="32"/>
          <w:lang w:val="en-US" w:eastAsia="zh-CN" w:bidi="ar-SA"/>
        </w:rPr>
      </w:pPr>
    </w:p>
    <w:p w14:paraId="7766EAFC">
      <w:pPr>
        <w:pStyle w:val="3"/>
        <w:rPr>
          <w:rFonts w:hint="eastAsia" w:ascii="仿宋_GB2312" w:hAnsi="仿宋" w:eastAsia="仿宋_GB2312" w:cs="Times New Roman"/>
          <w:b w:val="0"/>
          <w:bCs w:val="0"/>
          <w:kern w:val="2"/>
          <w:sz w:val="32"/>
          <w:szCs w:val="32"/>
          <w:lang w:val="en-US" w:eastAsia="zh-CN" w:bidi="ar-SA"/>
        </w:rPr>
      </w:pPr>
    </w:p>
    <w:p w14:paraId="7DCBAD69">
      <w:pPr>
        <w:pStyle w:val="5"/>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p>
    <w:p w14:paraId="15E1266B">
      <w:pPr>
        <w:rPr>
          <w:rFonts w:ascii="Times New Roman" w:hAnsi="Times New Roman"/>
          <w:color w:val="auto"/>
          <w:highlight w:val="none"/>
        </w:rPr>
      </w:pPr>
    </w:p>
    <w:p w14:paraId="562B841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7370F50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2436.27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223.25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8.39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事业收入减少。</w:t>
      </w:r>
    </w:p>
    <w:p w14:paraId="14687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1E51894">
      <w:pPr>
        <w:pStyle w:val="2"/>
        <w:rPr>
          <w:rFonts w:hint="eastAsia"/>
        </w:rPr>
      </w:pPr>
    </w:p>
    <w:p w14:paraId="7DCEEE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黑体"/>
          <w:color w:val="auto"/>
          <w:sz w:val="32"/>
          <w:szCs w:val="32"/>
          <w:highlight w:val="none"/>
          <w:lang w:eastAsia="zh-CN"/>
        </w:rPr>
      </w:pPr>
      <w:bookmarkStart w:id="20" w:name="_Toc15396604"/>
      <w:bookmarkStart w:id="21" w:name="_Toc15377206"/>
      <w:r>
        <w:drawing>
          <wp:anchor distT="0" distB="0" distL="114300" distR="114300" simplePos="0" relativeHeight="251663360" behindDoc="0" locked="0" layoutInCell="1" allowOverlap="1">
            <wp:simplePos x="0" y="0"/>
            <wp:positionH relativeFrom="column">
              <wp:posOffset>144145</wp:posOffset>
            </wp:positionH>
            <wp:positionV relativeFrom="page">
              <wp:posOffset>3999230</wp:posOffset>
            </wp:positionV>
            <wp:extent cx="5111750" cy="2510790"/>
            <wp:effectExtent l="4445" t="4445" r="8255" b="18415"/>
            <wp:wrapTopAndBottom/>
            <wp:docPr id="2" name="图表 1"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黑体"/>
          <w:color w:val="auto"/>
          <w:sz w:val="32"/>
          <w:szCs w:val="32"/>
          <w:highlight w:val="none"/>
          <w:lang w:eastAsia="zh-CN"/>
        </w:rPr>
        <w:t>二、收入决算情况说明</w:t>
      </w:r>
      <w:bookmarkEnd w:id="20"/>
      <w:bookmarkEnd w:id="21"/>
    </w:p>
    <w:p w14:paraId="6D325AAA">
      <w:pPr>
        <w:spacing w:line="600" w:lineRule="exact"/>
        <w:ind w:firstLine="640" w:firstLineChars="200"/>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2436.27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838.81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34.43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lang w:val="en-US" w:eastAsia="zh-CN"/>
        </w:rPr>
        <w:t>1597.46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65.56</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4A1FB7A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EF4C07C">
      <w:pPr>
        <w:ind w:firstLine="525" w:firstLineChars="250"/>
        <w:jc w:val="left"/>
        <w:rPr>
          <w:rStyle w:val="29"/>
          <w:rFonts w:hint="eastAsia" w:ascii="Times New Roman" w:hAnsi="Times New Roman" w:eastAsia="黑体"/>
          <w:b w:val="0"/>
          <w:color w:val="auto"/>
          <w:highlight w:val="none"/>
        </w:rPr>
      </w:pPr>
      <w:r>
        <w:drawing>
          <wp:anchor distT="0" distB="0" distL="114300" distR="114300" simplePos="0" relativeHeight="251659264" behindDoc="0" locked="0" layoutInCell="1" allowOverlap="1">
            <wp:simplePos x="0" y="0"/>
            <wp:positionH relativeFrom="column">
              <wp:posOffset>233045</wp:posOffset>
            </wp:positionH>
            <wp:positionV relativeFrom="paragraph">
              <wp:posOffset>82550</wp:posOffset>
            </wp:positionV>
            <wp:extent cx="4893310" cy="2402205"/>
            <wp:effectExtent l="4445" t="4445" r="17145" b="1270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5EDC69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2436.27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1984.66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81.46%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lang w:val="en-US" w:eastAsia="zh-CN"/>
        </w:rPr>
        <w:t>451.61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18.54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37CB784F">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240665</wp:posOffset>
            </wp:positionH>
            <wp:positionV relativeFrom="paragraph">
              <wp:posOffset>481330</wp:posOffset>
            </wp:positionV>
            <wp:extent cx="5039360" cy="2878455"/>
            <wp:effectExtent l="4445" t="4445" r="23495" b="1270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14:paraId="72CF0F4E">
      <w:pPr>
        <w:ind w:firstLine="800" w:firstLineChars="250"/>
        <w:rPr>
          <w:rStyle w:val="29"/>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1E1D00A7">
      <w:pPr>
        <w:spacing w:line="600" w:lineRule="exact"/>
        <w:ind w:firstLine="640"/>
        <w:rPr>
          <w:rFonts w:ascii="仿宋" w:hAnsi="仿宋" w:eastAsia="仿宋"/>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lang w:val="en-US" w:eastAsia="zh-CN"/>
        </w:rPr>
        <w:t>838.81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161.04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16.11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财政拨款</w:t>
      </w:r>
      <w:r>
        <w:rPr>
          <w:rFonts w:hint="eastAsia" w:ascii="仿宋" w:hAnsi="仿宋" w:eastAsia="仿宋"/>
          <w:sz w:val="32"/>
          <w:szCs w:val="32"/>
          <w:lang w:eastAsia="zh-CN"/>
        </w:rPr>
        <w:t>人员经费减少。</w:t>
      </w: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645F51C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678F5DB">
      <w:pPr>
        <w:spacing w:line="600" w:lineRule="exact"/>
        <w:ind w:firstLine="640"/>
        <w:rPr>
          <w:rStyle w:val="29"/>
          <w:rFonts w:ascii="Times New Roman" w:hAnsi="Times New Roman" w:eastAsia="黑体"/>
          <w:b w:val="0"/>
          <w:color w:val="auto"/>
          <w:highlight w:val="none"/>
        </w:rPr>
      </w:pPr>
      <w:r>
        <w:drawing>
          <wp:anchor distT="0" distB="0" distL="114300" distR="114300" simplePos="0" relativeHeight="251661312" behindDoc="0" locked="0" layoutInCell="1" allowOverlap="1">
            <wp:simplePos x="0" y="0"/>
            <wp:positionH relativeFrom="column">
              <wp:posOffset>207010</wp:posOffset>
            </wp:positionH>
            <wp:positionV relativeFrom="paragraph">
              <wp:posOffset>368935</wp:posOffset>
            </wp:positionV>
            <wp:extent cx="5031105" cy="2781300"/>
            <wp:effectExtent l="4445" t="4445" r="12700" b="14605"/>
            <wp:wrapTopAndBottom/>
            <wp:docPr id="3" name="图表 1"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7549FD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5B79B3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838.81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34.43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161.04</w:t>
      </w:r>
      <w:r>
        <w:rPr>
          <w:rFonts w:hint="eastAsia" w:ascii="仿宋_GB2312" w:hAnsi="仿宋_GB2312"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16.11</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财政拨款</w:t>
      </w:r>
      <w:r>
        <w:rPr>
          <w:rFonts w:hint="eastAsia" w:ascii="仿宋" w:hAnsi="仿宋" w:eastAsia="仿宋"/>
          <w:sz w:val="32"/>
          <w:szCs w:val="32"/>
          <w:lang w:eastAsia="zh-CN"/>
        </w:rPr>
        <w:t>人员经费减少。</w:t>
      </w:r>
    </w:p>
    <w:p w14:paraId="336F64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8E3941E">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bookmarkStart w:id="29" w:name="_Toc15377211"/>
      <w:r>
        <w:drawing>
          <wp:anchor distT="0" distB="0" distL="114300" distR="114300" simplePos="0" relativeHeight="251662336" behindDoc="0" locked="0" layoutInCell="1" allowOverlap="1">
            <wp:simplePos x="0" y="0"/>
            <wp:positionH relativeFrom="column">
              <wp:posOffset>245745</wp:posOffset>
            </wp:positionH>
            <wp:positionV relativeFrom="page">
              <wp:posOffset>975995</wp:posOffset>
            </wp:positionV>
            <wp:extent cx="4824730" cy="2597150"/>
            <wp:effectExtent l="4445" t="4445" r="9525" b="825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535F7A4">
      <w:pPr>
        <w:spacing w:line="600" w:lineRule="exact"/>
        <w:ind w:firstLine="640"/>
        <w:rPr>
          <w:rFonts w:hint="eastAsia" w:ascii="仿宋" w:hAnsi="仿宋" w:eastAsia="仿宋"/>
          <w:b/>
          <w:color w:val="auto"/>
          <w:sz w:val="32"/>
          <w:szCs w:val="32"/>
          <w:highlight w:val="none"/>
        </w:rPr>
      </w:pPr>
      <w:r>
        <w:drawing>
          <wp:anchor distT="0" distB="0" distL="114300" distR="114300" simplePos="0" relativeHeight="251664384" behindDoc="0" locked="0" layoutInCell="1" allowOverlap="1">
            <wp:simplePos x="0" y="0"/>
            <wp:positionH relativeFrom="column">
              <wp:posOffset>135255</wp:posOffset>
            </wp:positionH>
            <wp:positionV relativeFrom="page">
              <wp:posOffset>7148830</wp:posOffset>
            </wp:positionV>
            <wp:extent cx="5073650" cy="2491740"/>
            <wp:effectExtent l="4445" t="4445" r="8255" b="18415"/>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838.81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ascii="仿宋_GB2312" w:hAnsi="仿宋_GB2312" w:eastAsia="仿宋_GB2312" w:cs="仿宋_GB2312"/>
          <w:sz w:val="32"/>
          <w:szCs w:val="32"/>
          <w:lang w:val="en-US" w:eastAsia="zh-CN"/>
        </w:rPr>
        <w:t>838.81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14:paraId="59B900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3A7A0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1F96EC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34443B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8460"/>
      <w:bookmarkStart w:id="33"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lang w:val="en-US" w:eastAsia="zh-CN"/>
        </w:rPr>
        <w:t>838.81万元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233A66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卫生健康（类）基层医疗卫生机构（款）乡镇卫生院（项）</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支出决算为</w:t>
      </w:r>
      <w:r>
        <w:rPr>
          <w:rFonts w:hint="eastAsia" w:ascii="仿宋" w:hAnsi="仿宋" w:eastAsia="仿宋"/>
          <w:sz w:val="32"/>
          <w:szCs w:val="32"/>
          <w:lang w:val="en-US" w:eastAsia="zh-CN"/>
        </w:rPr>
        <w:t>387.2</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03EB60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卫生健康（类）基层医疗卫生机构（款）其他基层医疗卫生机构支出（项）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00B568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卫生健康（类）公共卫生（款）基本公共卫生服务（项）：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307.1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65D261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卫生健康（类）公共卫生（款）重大公共卫生服务（项）：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64C3A9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b/>
          <w:bCs/>
          <w:color w:val="auto"/>
          <w:kern w:val="2"/>
          <w:sz w:val="32"/>
          <w:szCs w:val="32"/>
          <w:highlight w:val="none"/>
          <w:lang w:val="en-US" w:eastAsia="zh-CN" w:bidi="ar-SA"/>
        </w:rPr>
        <w:t>卫生健康（类）公共卫生（款）其他公共卫生服务（项）：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决算数等于预算数</w:t>
      </w:r>
      <w:r>
        <w:rPr>
          <w:rFonts w:hint="eastAsia" w:eastAsia="仿宋_GB2312" w:cs="仿宋_GB2312"/>
          <w:color w:val="auto"/>
          <w:kern w:val="2"/>
          <w:sz w:val="32"/>
          <w:szCs w:val="32"/>
          <w:highlight w:val="none"/>
          <w:lang w:val="en-US" w:eastAsia="zh-CN" w:bidi="ar-SA"/>
        </w:rPr>
        <w:t>。</w:t>
      </w:r>
    </w:p>
    <w:p w14:paraId="291307D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b/>
          <w:bCs/>
          <w:color w:val="auto"/>
          <w:kern w:val="2"/>
          <w:sz w:val="32"/>
          <w:szCs w:val="32"/>
          <w:highlight w:val="none"/>
          <w:lang w:val="en-US" w:eastAsia="zh-CN" w:bidi="ar-SA"/>
        </w:rPr>
        <w:t>卫生健康（类）中医药事务（款）中医（民族医）药专项（项）：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决算数等于预算数</w:t>
      </w:r>
      <w:r>
        <w:rPr>
          <w:rFonts w:hint="eastAsia" w:eastAsia="仿宋_GB2312" w:cs="仿宋_GB2312"/>
          <w:color w:val="auto"/>
          <w:kern w:val="2"/>
          <w:sz w:val="32"/>
          <w:szCs w:val="32"/>
          <w:highlight w:val="none"/>
          <w:lang w:val="en-US" w:eastAsia="zh-CN" w:bidi="ar-SA"/>
        </w:rPr>
        <w:t>。</w:t>
      </w:r>
    </w:p>
    <w:p w14:paraId="5AE43866">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b/>
          <w:bCs/>
          <w:color w:val="auto"/>
          <w:kern w:val="2"/>
          <w:sz w:val="32"/>
          <w:szCs w:val="32"/>
          <w:highlight w:val="none"/>
          <w:lang w:val="en-US" w:eastAsia="zh-CN" w:bidi="ar-SA"/>
        </w:rPr>
        <w:t>卫生健康（类）其他卫生健康支出（款）其他卫生健康支出（项）</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7"/>
          <w:rFonts w:hint="eastAsia" w:ascii="仿宋" w:hAnsi="仿宋" w:eastAsia="仿宋"/>
          <w:b w:val="0"/>
          <w:bCs/>
          <w:sz w:val="32"/>
          <w:szCs w:val="32"/>
        </w:rPr>
        <w:t>决算数等于预算数</w:t>
      </w:r>
      <w:r>
        <w:rPr>
          <w:rFonts w:hint="eastAsia" w:eastAsia="仿宋_GB2312" w:cs="仿宋_GB2312"/>
          <w:color w:val="auto"/>
          <w:kern w:val="2"/>
          <w:sz w:val="32"/>
          <w:szCs w:val="32"/>
          <w:highlight w:val="none"/>
          <w:lang w:val="en-US" w:eastAsia="zh-CN" w:bidi="ar-SA"/>
        </w:rPr>
        <w:t>。</w:t>
      </w:r>
    </w:p>
    <w:p w14:paraId="779B694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w:t>
      </w:r>
      <w:r>
        <w:rPr>
          <w:rFonts w:hint="eastAsia" w:ascii="仿宋" w:hAnsi="仿宋" w:eastAsia="仿宋"/>
          <w:b/>
          <w:color w:val="auto"/>
          <w:sz w:val="32"/>
          <w:szCs w:val="32"/>
          <w:highlight w:val="none"/>
        </w:rPr>
        <w:t>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Times New Roman" w:hAnsi="Times New Roman" w:eastAsia="仿宋_GB2312" w:cs="仿宋_GB2312"/>
          <w:b/>
          <w:bCs/>
          <w:color w:val="auto"/>
          <w:kern w:val="2"/>
          <w:sz w:val="32"/>
          <w:szCs w:val="32"/>
          <w:highlight w:val="none"/>
          <w:lang w:val="en-US" w:eastAsia="zh-CN" w:bidi="ar-SA"/>
        </w:rPr>
        <w:t>仅罗列本部门涉及的全部功能分类科目，至项级。上述“预算”口径为全年预算数。增减变动原因为决算数&lt;项级&gt;和全年预算数&lt;项级&gt;比较，与预算数持平可以不写原因）</w:t>
      </w:r>
    </w:p>
    <w:p w14:paraId="1B729B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83F117">
      <w:pPr>
        <w:tabs>
          <w:tab w:val="right" w:pos="8306"/>
        </w:tabs>
        <w:spacing w:line="600" w:lineRule="exact"/>
        <w:ind w:firstLine="640"/>
        <w:outlineLvl w:val="1"/>
        <w:rPr>
          <w:rStyle w:val="29"/>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3C4979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lang w:val="en-US" w:eastAsia="zh-CN"/>
        </w:rPr>
        <w:t>387.2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507C7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387.2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57A3F1C">
      <w:pPr>
        <w:spacing w:line="600" w:lineRule="exact"/>
        <w:ind w:firstLine="640"/>
        <w:rPr>
          <w:rFonts w:hint="eastAsia" w:ascii="仿宋" w:hAnsi="仿宋" w:eastAsia="仿宋"/>
          <w:b/>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仅罗列本部门实际支出涉及的经济分类科目）</w:t>
      </w:r>
    </w:p>
    <w:p w14:paraId="40A07733">
      <w:pPr>
        <w:pStyle w:val="2"/>
        <w:rPr>
          <w:rFonts w:hint="eastAsia"/>
          <w:lang w:val="en-US" w:eastAsia="zh-CN"/>
        </w:rPr>
      </w:pPr>
    </w:p>
    <w:p w14:paraId="6433A3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4E3177">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38B4E17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4A177DF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万元，完成预算0%，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671C7C6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4F30C0A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0F4A002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4D3A745">
      <w:pPr>
        <w:numPr>
          <w:ilvl w:val="0"/>
          <w:numId w:val="2"/>
        </w:num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6229BC45">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786486B">
      <w:pPr>
        <w:spacing w:line="600" w:lineRule="exact"/>
        <w:ind w:left="319" w:leftChars="152" w:firstLine="655" w:firstLineChars="204"/>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A2B72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3546F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w:t>
      </w:r>
    </w:p>
    <w:p w14:paraId="65B1CC38">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B0B65F0">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115A4E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6A9556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96610"/>
      <w:bookmarkStart w:id="41" w:name="_Toc15377218"/>
    </w:p>
    <w:p w14:paraId="0F6D3291">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03E1BE31">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381CB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0D5D04">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77219"/>
      <w:bookmarkStart w:id="43"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2D773820">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2024年度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E8B96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E2C6ED">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77221"/>
      <w:bookmarkStart w:id="4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1AE7ED4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693C5E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泸县牛滩中心卫生院</w:t>
      </w:r>
      <w:r>
        <w:rPr>
          <w:rFonts w:hint="eastAsia" w:ascii="仿宋_GB2312" w:hAnsi="仿宋_GB2312" w:eastAsia="仿宋_GB2312" w:cs="仿宋_GB2312"/>
          <w:color w:val="auto"/>
          <w:kern w:val="2"/>
          <w:sz w:val="32"/>
          <w:szCs w:val="32"/>
          <w:highlight w:val="none"/>
          <w:lang w:val="en-US" w:eastAsia="zh-CN" w:bidi="ar-SA"/>
        </w:rPr>
        <w:t>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FC9B691">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2B05BB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361FD90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泸县牛滩中心卫生院</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lang w:val="en-US" w:eastAsia="zh-CN"/>
        </w:rPr>
        <w:t>197.45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eastAsia="仿宋_GB2312"/>
          <w:sz w:val="32"/>
          <w:szCs w:val="32"/>
        </w:rPr>
        <w:t>主要用于</w:t>
      </w:r>
      <w:r>
        <w:rPr>
          <w:rFonts w:hint="eastAsia" w:ascii="仿宋_GB2312" w:eastAsia="仿宋_GB2312"/>
          <w:sz w:val="32"/>
          <w:szCs w:val="32"/>
          <w:lang w:eastAsia="zh-CN"/>
        </w:rPr>
        <w:t>开展医疗业务活动</w:t>
      </w:r>
      <w:r>
        <w:rPr>
          <w:rFonts w:hint="eastAsia" w:ascii="仿宋_GB2312" w:eastAsia="仿宋_GB2312"/>
          <w:sz w:val="32"/>
          <w:szCs w:val="32"/>
        </w:rPr>
        <w:t>。</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14:paraId="61DACBDB">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70D3B951">
      <w:pPr>
        <w:pStyle w:val="2"/>
        <w:rPr>
          <w:rFonts w:hint="eastAsia"/>
          <w:lang w:val="en-US" w:eastAsia="zh-CN"/>
        </w:rPr>
      </w:pPr>
    </w:p>
    <w:p w14:paraId="40BDBA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3A31C3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eastAsia="仿宋_GB2312" w:cs="仿宋_GB2312"/>
          <w:color w:val="auto"/>
          <w:kern w:val="2"/>
          <w:sz w:val="32"/>
          <w:szCs w:val="32"/>
          <w:highlight w:val="none"/>
          <w:lang w:val="en-US" w:eastAsia="zh-CN" w:bidi="ar-SA"/>
        </w:rPr>
        <w:t>泸县牛滩中心卫生院</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辆，其他用车主要是用于医疗工作开展。单价100万元（含）以上设备（不含车辆）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FDB8F52">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395BB7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5635BD3">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资产配置</w:t>
      </w:r>
      <w:r>
        <w:rPr>
          <w:rFonts w:hint="eastAsia" w:ascii="仿宋_GB2312" w:eastAsia="仿宋_GB2312"/>
          <w:sz w:val="32"/>
          <w:szCs w:val="32"/>
        </w:rPr>
        <w:t>项目（项目名称）等</w:t>
      </w:r>
      <w:r>
        <w:rPr>
          <w:rFonts w:hint="eastAsia" w:ascii="仿宋_GB2312" w:eastAsia="仿宋_GB2312"/>
          <w:sz w:val="32"/>
          <w:szCs w:val="32"/>
          <w:lang w:val="en-US" w:eastAsia="zh-CN"/>
        </w:rPr>
        <w:t>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w:t>
      </w:r>
      <w:r>
        <w:rPr>
          <w:rFonts w:hint="eastAsia" w:ascii="仿宋_GB2312" w:eastAsia="仿宋_GB2312"/>
          <w:sz w:val="32"/>
          <w:szCs w:val="32"/>
        </w:rPr>
        <w:t>个项目开展绩效自评，绩效自评表详见第四部分附件。</w:t>
      </w:r>
    </w:p>
    <w:p w14:paraId="2406D3F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27681ED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353CCB2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96613"/>
      <w:bookmarkStart w:id="5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57B117C1">
      <w:pPr>
        <w:spacing w:line="600" w:lineRule="exact"/>
        <w:jc w:val="left"/>
        <w:rPr>
          <w:rFonts w:ascii="Times New Roman" w:hAnsi="Times New Roman"/>
          <w:b/>
          <w:color w:val="auto"/>
          <w:sz w:val="44"/>
          <w:szCs w:val="44"/>
          <w:highlight w:val="none"/>
        </w:rPr>
      </w:pPr>
    </w:p>
    <w:p w14:paraId="6BFD64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EBF38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474FCD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675ABE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4.其他收入：指单位取得的除上述收入以外的各项收入。主要是……（收入类型）等。</w:t>
      </w:r>
    </w:p>
    <w:p w14:paraId="44EE18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72314F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6.年初结转和结余：指以前年度尚未完成、结转到本年按有关规定继续使用的资金。</w:t>
      </w:r>
    </w:p>
    <w:p w14:paraId="0AE013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54917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B70AA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546610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7511A8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7C1B2B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268146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31085E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11E2B9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5EBE30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26634E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302807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05E658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1AC4AE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705ACC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369BEB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25DF71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049721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070245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26E844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4A56F2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038688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6CBE8A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3F75CC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28.项目支出：指在基本支出之外为完成特定行政任务和事业发展目标所发生的支出。</w:t>
      </w:r>
    </w:p>
    <w:p w14:paraId="745F8F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61B781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0E05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D30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6DCAA20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67F15AA1">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附件</w:t>
      </w:r>
      <w:bookmarkEnd w:id="52"/>
    </w:p>
    <w:p w14:paraId="01CB013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FB1325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B50016A">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部门预算项目支出绩效自评表（2024年度）</w:t>
      </w:r>
    </w:p>
    <w:p w14:paraId="6A2AFC5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14:paraId="023511A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
          <w:color w:val="auto"/>
          <w:sz w:val="32"/>
          <w:szCs w:val="32"/>
          <w:highlight w:val="none"/>
          <w:lang w:val="zh-CN" w:eastAsia="zh-CN" w:bidi="ar-SA"/>
        </w:rPr>
      </w:pPr>
      <w:r>
        <w:rPr>
          <w:rFonts w:hint="eastAsia" w:ascii="仿宋_GB2312" w:hAnsi="Calibri" w:eastAsia="仿宋_GB2312" w:cs="仿宋"/>
          <w:color w:val="auto"/>
          <w:sz w:val="32"/>
          <w:szCs w:val="32"/>
          <w:highlight w:val="none"/>
          <w:lang w:val="en-US" w:eastAsia="zh-CN" w:bidi="ar-SA"/>
        </w:rPr>
        <w:t>（备注：按照绩效自评工作安排，各单位可在预算管理一体化系统—综合报表查询—预算绩效报表模块中下载本单位“部门预算项目支出绩效自评表（</w:t>
      </w:r>
      <w:r>
        <w:rPr>
          <w:rFonts w:hint="eastAsia" w:eastAsia="仿宋_GB2312" w:cs="仿宋"/>
          <w:color w:val="auto"/>
          <w:sz w:val="32"/>
          <w:szCs w:val="32"/>
          <w:highlight w:val="none"/>
          <w:lang w:val="en-US" w:eastAsia="zh-CN" w:bidi="ar-SA"/>
        </w:rPr>
        <w:t>2024年</w:t>
      </w:r>
      <w:r>
        <w:rPr>
          <w:rFonts w:hint="eastAsia" w:ascii="仿宋_GB2312" w:hAnsi="Calibri" w:eastAsia="仿宋_GB2312" w:cs="仿宋"/>
          <w:color w:val="auto"/>
          <w:sz w:val="32"/>
          <w:szCs w:val="32"/>
          <w:highlight w:val="none"/>
          <w:lang w:val="en-US" w:eastAsia="zh-CN" w:bidi="ar-SA"/>
        </w:rPr>
        <w:t>度）”，该表格应作为附件予以公开。）</w:t>
      </w:r>
    </w:p>
    <w:p w14:paraId="76627E4E">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486F7AD">
      <w:pPr>
        <w:pStyle w:val="8"/>
        <w:rPr>
          <w:rFonts w:hint="eastAsia" w:ascii="Times New Roman" w:hAnsi="Times New Roman" w:cs="宋体"/>
          <w:color w:val="FF0000"/>
          <w:kern w:val="0"/>
          <w:sz w:val="32"/>
          <w:szCs w:val="32"/>
          <w:highlight w:val="yellow"/>
          <w:shd w:val="clear" w:color="auto" w:fill="FFFFFF"/>
          <w:lang w:val="zh-CN"/>
        </w:rPr>
      </w:pPr>
    </w:p>
    <w:p w14:paraId="0EA9389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25051918">
      <w:pPr>
        <w:widowControl/>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w:t>
      </w:r>
      <w:r>
        <w:rPr>
          <w:rStyle w:val="28"/>
          <w:rFonts w:hint="eastAsia" w:eastAsia="黑体"/>
          <w:b w:val="0"/>
          <w:color w:val="auto"/>
          <w:highlight w:val="none"/>
          <w:lang w:val="en-US" w:eastAsia="zh-CN"/>
        </w:rPr>
        <w:t xml:space="preserve"> </w:t>
      </w:r>
      <w:r>
        <w:rPr>
          <w:rStyle w:val="28"/>
          <w:rFonts w:hint="eastAsia" w:ascii="Times New Roman" w:hAnsi="Times New Roman" w:eastAsia="黑体"/>
          <w:b w:val="0"/>
          <w:color w:val="auto"/>
          <w:highlight w:val="none"/>
        </w:rPr>
        <w:t>附表</w:t>
      </w:r>
      <w:bookmarkEnd w:id="51"/>
      <w:bookmarkEnd w:id="53"/>
      <w:bookmarkStart w:id="54" w:name="_Toc15396619"/>
    </w:p>
    <w:p w14:paraId="45D8DA8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bookmarkEnd w:id="54"/>
    <w:p w14:paraId="1564A68F">
      <w:pPr>
        <w:pStyle w:val="6"/>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p>
    <w:p w14:paraId="45A761AC">
      <w:pPr>
        <w:pStyle w:val="6"/>
        <w:rPr>
          <w:rFonts w:ascii="仿宋" w:hAnsi="仿宋" w:eastAsia="仿宋"/>
          <w:color w:val="auto"/>
          <w:highlight w:val="none"/>
        </w:rPr>
      </w:pPr>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p>
    <w:p w14:paraId="2E4B9435">
      <w:pPr>
        <w:pStyle w:val="6"/>
        <w:rPr>
          <w:rFonts w:ascii="仿宋" w:hAnsi="仿宋" w:eastAsia="仿宋"/>
          <w:color w:val="auto"/>
          <w:highlight w:val="none"/>
        </w:rPr>
      </w:pPr>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p>
    <w:p w14:paraId="1BC4DE06">
      <w:pPr>
        <w:pStyle w:val="6"/>
        <w:rPr>
          <w:rFonts w:ascii="仿宋" w:hAnsi="仿宋" w:eastAsia="仿宋"/>
          <w:b w:val="0"/>
          <w:color w:val="auto"/>
          <w:highlight w:val="none"/>
        </w:rPr>
      </w:pPr>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p>
    <w:p w14:paraId="3F584345">
      <w:pPr>
        <w:pStyle w:val="6"/>
        <w:rPr>
          <w:rStyle w:val="29"/>
          <w:rFonts w:ascii="仿宋" w:hAnsi="仿宋" w:eastAsia="仿宋"/>
          <w:b w:val="0"/>
          <w:bCs w:val="0"/>
          <w:color w:val="auto"/>
          <w:highlight w:val="none"/>
        </w:rPr>
      </w:pPr>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p>
    <w:p w14:paraId="767C4800">
      <w:pPr>
        <w:pStyle w:val="6"/>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p>
    <w:p w14:paraId="33C714C2">
      <w:pPr>
        <w:pStyle w:val="6"/>
        <w:rPr>
          <w:rFonts w:ascii="仿宋" w:hAnsi="仿宋" w:eastAsia="仿宋"/>
          <w:color w:val="auto"/>
          <w:highlight w:val="none"/>
        </w:rPr>
      </w:pPr>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p>
    <w:p w14:paraId="0E36B1D5">
      <w:pPr>
        <w:pStyle w:val="6"/>
        <w:rPr>
          <w:rFonts w:ascii="仿宋" w:hAnsi="仿宋" w:eastAsia="仿宋"/>
          <w:color w:val="auto"/>
          <w:highlight w:val="none"/>
        </w:rPr>
      </w:pPr>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p>
    <w:p w14:paraId="271CD4DB">
      <w:pPr>
        <w:pStyle w:val="6"/>
        <w:rPr>
          <w:rFonts w:ascii="仿宋" w:hAnsi="仿宋" w:eastAsia="仿宋"/>
          <w:color w:val="auto"/>
          <w:highlight w:val="none"/>
        </w:rPr>
      </w:pPr>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p>
    <w:p w14:paraId="4B358B6B">
      <w:pPr>
        <w:pStyle w:val="6"/>
        <w:rPr>
          <w:rFonts w:ascii="仿宋" w:hAnsi="仿宋" w:eastAsia="仿宋"/>
          <w:color w:val="auto"/>
          <w:highlight w:val="none"/>
        </w:rPr>
      </w:pPr>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14:paraId="5B22865A">
      <w:pPr>
        <w:pStyle w:val="6"/>
        <w:rPr>
          <w:rFonts w:ascii="仿宋" w:hAnsi="仿宋" w:eastAsia="仿宋"/>
          <w:color w:val="auto"/>
          <w:highlight w:val="none"/>
        </w:rPr>
      </w:pPr>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14:paraId="446D985F">
      <w:pPr>
        <w:pStyle w:val="6"/>
        <w:rPr>
          <w:rFonts w:ascii="仿宋" w:hAnsi="仿宋" w:eastAsia="仿宋"/>
          <w:color w:val="auto"/>
          <w:highlight w:val="none"/>
        </w:rPr>
      </w:pPr>
      <w:r>
        <w:rPr>
          <w:rStyle w:val="29"/>
          <w:rFonts w:hint="eastAsia" w:ascii="仿宋" w:hAnsi="仿宋" w:eastAsia="仿宋"/>
          <w:b w:val="0"/>
          <w:bCs w:val="0"/>
          <w:color w:val="auto"/>
          <w:highlight w:val="none"/>
        </w:rPr>
        <w:t>十二、</w:t>
      </w:r>
      <w:r>
        <w:rPr>
          <w:rStyle w:val="29"/>
          <w:rFonts w:hint="eastAsia" w:ascii="仿宋" w:hAnsi="仿宋" w:eastAsia="仿宋"/>
          <w:b w:val="0"/>
          <w:bCs w:val="0"/>
          <w:color w:val="auto"/>
          <w:highlight w:val="none"/>
          <w:lang w:eastAsia="zh-CN"/>
        </w:rPr>
        <w:t>国有资本经营预算财政拨款支出决算表</w:t>
      </w:r>
    </w:p>
    <w:p w14:paraId="47790C1E">
      <w:pPr>
        <w:pStyle w:val="6"/>
        <w:rPr>
          <w:rFonts w:hint="eastAsia" w:eastAsia="仿宋"/>
          <w:color w:val="auto"/>
          <w:highlight w:val="none"/>
          <w:lang w:eastAsia="zh-CN"/>
        </w:rPr>
      </w:pPr>
      <w:r>
        <w:rPr>
          <w:rStyle w:val="29"/>
          <w:rFonts w:hint="eastAsia" w:ascii="仿宋" w:hAnsi="仿宋" w:eastAsia="仿宋"/>
          <w:b w:val="0"/>
          <w:bCs w:val="0"/>
          <w:color w:val="auto"/>
          <w:highlight w:val="none"/>
        </w:rPr>
        <w:t>十三、</w:t>
      </w:r>
      <w:r>
        <w:rPr>
          <w:rStyle w:val="29"/>
          <w:rFonts w:hint="eastAsia" w:ascii="仿宋" w:hAnsi="仿宋" w:eastAsia="仿宋"/>
          <w:b w:val="0"/>
          <w:bCs w:val="0"/>
          <w:color w:val="auto"/>
          <w:highlight w:val="none"/>
          <w:lang w:eastAsia="zh-CN"/>
        </w:rPr>
        <w:t>财政拨款“三公”经费支出决算表</w:t>
      </w:r>
    </w:p>
    <w:p w14:paraId="318D55E3">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F036">
    <w:pPr>
      <w:pStyle w:val="11"/>
      <w:jc w:val="center"/>
    </w:pPr>
  </w:p>
  <w:p w14:paraId="6260903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6BD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0C7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abstractNum w:abstractNumId="1">
    <w:nsid w:val="42DB4E14"/>
    <w:multiLevelType w:val="singleLevel"/>
    <w:tmpl w:val="42DB4E1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MTM1ZGRjMWMzM2Y4OWIwMTgyNzYyYzIzMDJiZ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0A0E"/>
    <w:rsid w:val="00F81FD9"/>
    <w:rsid w:val="00F841AA"/>
    <w:rsid w:val="00F84A94"/>
    <w:rsid w:val="00F87E96"/>
    <w:rsid w:val="00FA23E8"/>
    <w:rsid w:val="00FD3CC1"/>
    <w:rsid w:val="00FF1E02"/>
    <w:rsid w:val="00FF30B4"/>
    <w:rsid w:val="012A5EC2"/>
    <w:rsid w:val="015975B8"/>
    <w:rsid w:val="02FEBE30"/>
    <w:rsid w:val="038B1D63"/>
    <w:rsid w:val="04916F1E"/>
    <w:rsid w:val="04BD21BD"/>
    <w:rsid w:val="061E35DE"/>
    <w:rsid w:val="066E0107"/>
    <w:rsid w:val="07996F6E"/>
    <w:rsid w:val="07DFD8BA"/>
    <w:rsid w:val="09867E8F"/>
    <w:rsid w:val="0A2032A3"/>
    <w:rsid w:val="0A220897"/>
    <w:rsid w:val="0CA8290A"/>
    <w:rsid w:val="0D35B1ED"/>
    <w:rsid w:val="0E254B6B"/>
    <w:rsid w:val="0F98263C"/>
    <w:rsid w:val="101860EC"/>
    <w:rsid w:val="101F47CC"/>
    <w:rsid w:val="10C055FF"/>
    <w:rsid w:val="11511F61"/>
    <w:rsid w:val="11694EBD"/>
    <w:rsid w:val="11772AA4"/>
    <w:rsid w:val="118107EC"/>
    <w:rsid w:val="11FA0AD3"/>
    <w:rsid w:val="12BD0838"/>
    <w:rsid w:val="12E24EE2"/>
    <w:rsid w:val="13164F12"/>
    <w:rsid w:val="13D50BC4"/>
    <w:rsid w:val="14B17F78"/>
    <w:rsid w:val="165E0673"/>
    <w:rsid w:val="16B831D5"/>
    <w:rsid w:val="16BB723D"/>
    <w:rsid w:val="170472C7"/>
    <w:rsid w:val="17E50567"/>
    <w:rsid w:val="186504BB"/>
    <w:rsid w:val="198C5CE0"/>
    <w:rsid w:val="19A445FC"/>
    <w:rsid w:val="19AC652F"/>
    <w:rsid w:val="1B5508A0"/>
    <w:rsid w:val="1BE8440E"/>
    <w:rsid w:val="1D155CEE"/>
    <w:rsid w:val="1D1638FE"/>
    <w:rsid w:val="1E312DEB"/>
    <w:rsid w:val="1E740ACF"/>
    <w:rsid w:val="1FF35744"/>
    <w:rsid w:val="1FF6BC77"/>
    <w:rsid w:val="2186353C"/>
    <w:rsid w:val="22173454"/>
    <w:rsid w:val="23860B96"/>
    <w:rsid w:val="240371BF"/>
    <w:rsid w:val="244F3473"/>
    <w:rsid w:val="24C97D99"/>
    <w:rsid w:val="256F06A2"/>
    <w:rsid w:val="25A718F0"/>
    <w:rsid w:val="25BB59F6"/>
    <w:rsid w:val="260F557C"/>
    <w:rsid w:val="26970054"/>
    <w:rsid w:val="281408E2"/>
    <w:rsid w:val="291B6C85"/>
    <w:rsid w:val="29FD04D3"/>
    <w:rsid w:val="2BFF7BC6"/>
    <w:rsid w:val="2C8A61B5"/>
    <w:rsid w:val="2CE466AC"/>
    <w:rsid w:val="2DF04E50"/>
    <w:rsid w:val="2E586DFA"/>
    <w:rsid w:val="2EBC5842"/>
    <w:rsid w:val="2F040D46"/>
    <w:rsid w:val="2F6B035B"/>
    <w:rsid w:val="2FAE5751"/>
    <w:rsid w:val="2FB1A395"/>
    <w:rsid w:val="2FD9A7D8"/>
    <w:rsid w:val="2FDBF714"/>
    <w:rsid w:val="2FED3F1D"/>
    <w:rsid w:val="30AB6865"/>
    <w:rsid w:val="310A6C3D"/>
    <w:rsid w:val="313E0954"/>
    <w:rsid w:val="319F7F4E"/>
    <w:rsid w:val="32BD1EF1"/>
    <w:rsid w:val="3304709D"/>
    <w:rsid w:val="33A773CB"/>
    <w:rsid w:val="349D6851"/>
    <w:rsid w:val="34DF00B3"/>
    <w:rsid w:val="36AA5135"/>
    <w:rsid w:val="36BE0DA7"/>
    <w:rsid w:val="376B6AA6"/>
    <w:rsid w:val="376D39B2"/>
    <w:rsid w:val="37E16F03"/>
    <w:rsid w:val="37F53A3B"/>
    <w:rsid w:val="389B6C89"/>
    <w:rsid w:val="38D469F0"/>
    <w:rsid w:val="39627CCD"/>
    <w:rsid w:val="397BAF1F"/>
    <w:rsid w:val="3A2B3802"/>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160D67"/>
    <w:rsid w:val="42A02112"/>
    <w:rsid w:val="44E268DA"/>
    <w:rsid w:val="44FD29E9"/>
    <w:rsid w:val="450D13D7"/>
    <w:rsid w:val="45506656"/>
    <w:rsid w:val="486A6C7A"/>
    <w:rsid w:val="499E09AD"/>
    <w:rsid w:val="4A627F82"/>
    <w:rsid w:val="4B0E749A"/>
    <w:rsid w:val="4B2477C4"/>
    <w:rsid w:val="4B4F25DA"/>
    <w:rsid w:val="4BE068DB"/>
    <w:rsid w:val="4D577224"/>
    <w:rsid w:val="4D685F66"/>
    <w:rsid w:val="4DBF1CEB"/>
    <w:rsid w:val="4DF0007C"/>
    <w:rsid w:val="4EAB630A"/>
    <w:rsid w:val="4ECE2238"/>
    <w:rsid w:val="4F833267"/>
    <w:rsid w:val="4FE9BD67"/>
    <w:rsid w:val="4FFB052F"/>
    <w:rsid w:val="51736B8F"/>
    <w:rsid w:val="5375795D"/>
    <w:rsid w:val="537E6D0A"/>
    <w:rsid w:val="53F74C96"/>
    <w:rsid w:val="55170BA8"/>
    <w:rsid w:val="553218C9"/>
    <w:rsid w:val="567E1AA5"/>
    <w:rsid w:val="56E47B74"/>
    <w:rsid w:val="57175D52"/>
    <w:rsid w:val="57222D1F"/>
    <w:rsid w:val="57BD3DD4"/>
    <w:rsid w:val="599E0BCE"/>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8F2FAB"/>
    <w:rsid w:val="67AA3209"/>
    <w:rsid w:val="686F0893"/>
    <w:rsid w:val="698B10E3"/>
    <w:rsid w:val="698D0931"/>
    <w:rsid w:val="6A7FE5F3"/>
    <w:rsid w:val="6B053271"/>
    <w:rsid w:val="6BDD78B3"/>
    <w:rsid w:val="6C4A05C8"/>
    <w:rsid w:val="6C673034"/>
    <w:rsid w:val="6C8742B8"/>
    <w:rsid w:val="6D185C1B"/>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410B9D"/>
    <w:rsid w:val="715C0E4B"/>
    <w:rsid w:val="71992E7C"/>
    <w:rsid w:val="72233669"/>
    <w:rsid w:val="722F4A36"/>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73098"/>
    <w:rsid w:val="783E271A"/>
    <w:rsid w:val="78616DE9"/>
    <w:rsid w:val="78E875D7"/>
    <w:rsid w:val="79086DAD"/>
    <w:rsid w:val="79462BF0"/>
    <w:rsid w:val="79D7FD79"/>
    <w:rsid w:val="79EE5BA4"/>
    <w:rsid w:val="7A894339"/>
    <w:rsid w:val="7AD284E8"/>
    <w:rsid w:val="7AFF7572"/>
    <w:rsid w:val="7B6C7DFB"/>
    <w:rsid w:val="7BBFBED0"/>
    <w:rsid w:val="7BC3E394"/>
    <w:rsid w:val="7C1F3737"/>
    <w:rsid w:val="7CBFC87B"/>
    <w:rsid w:val="7CFE0F48"/>
    <w:rsid w:val="7D272ABC"/>
    <w:rsid w:val="7D401C5A"/>
    <w:rsid w:val="7D7EC23E"/>
    <w:rsid w:val="7DDC6142"/>
    <w:rsid w:val="7E8ADEBF"/>
    <w:rsid w:val="7EEF11D3"/>
    <w:rsid w:val="7EFE4840"/>
    <w:rsid w:val="7F0971A6"/>
    <w:rsid w:val="7F1D62E7"/>
    <w:rsid w:val="7F3F679B"/>
    <w:rsid w:val="7F4FC4EF"/>
    <w:rsid w:val="7F5E4D54"/>
    <w:rsid w:val="7F615E9B"/>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0915;&#31639;&#20844;&#24320;\2024&#24180;&#20915;&#31639;&#20844;&#24320;&#22270;&#24418;&#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915;&#31639;&#20844;&#24320;\2024&#24180;&#20915;&#31639;&#20844;&#24320;&#22270;&#24418;&#27169;&#26495;.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915;&#31639;&#20844;&#24320;\2024&#24180;&#20915;&#31639;&#20844;&#24320;&#22270;&#24418;&#27169;&#26495;.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915;&#31639;&#20844;&#24320;\2024&#24180;&#20915;&#31639;&#20844;&#24320;&#22270;&#24418;&#27169;&#26495;.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915;&#31639;&#20844;&#24320;\2024&#24180;&#20915;&#31639;&#20844;&#24320;&#22270;&#24418;&#27169;&#26495;.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915;&#31639;&#20844;&#24320;\2024&#24180;&#20915;&#31639;&#20844;&#24320;&#22270;&#24418;&#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[2024年决算公开图形模板.xls]收入决算结构图!$B$38</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[2024年决算公开图形模板.xls]收入决算结构图!$C$37:$D$37</c:f>
              <c:strCache>
                <c:ptCount val="2"/>
                <c:pt idx="0">
                  <c:v>收入</c:v>
                </c:pt>
                <c:pt idx="1">
                  <c:v>支出</c:v>
                </c:pt>
              </c:strCache>
            </c:strRef>
          </c:cat>
          <c:val>
            <c:numRef>
              <c:f>[2024年决算公开图形模板.xls]收入决算结构图!$C$38:$D$38</c:f>
              <c:numCache>
                <c:formatCode>General</c:formatCode>
                <c:ptCount val="2"/>
                <c:pt idx="0">
                  <c:v>2659.52</c:v>
                </c:pt>
                <c:pt idx="1">
                  <c:v>2659.52</c:v>
                </c:pt>
              </c:numCache>
            </c:numRef>
          </c:val>
        </c:ser>
        <c:ser>
          <c:idx val="1"/>
          <c:order val="1"/>
          <c:tx>
            <c:strRef>
              <c:f>[2024年决算公开图形模板.xls]收入决算结构图!$B$39</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[2024年决算公开图形模板.xls]收入决算结构图!$C$37:$D$37</c:f>
              <c:strCache>
                <c:ptCount val="2"/>
                <c:pt idx="0">
                  <c:v>收入</c:v>
                </c:pt>
                <c:pt idx="1">
                  <c:v>支出</c:v>
                </c:pt>
              </c:strCache>
            </c:strRef>
          </c:cat>
          <c:val>
            <c:numRef>
              <c:f>[2024年决算公开图形模板.xls]收入决算结构图!$C$39:$D$39</c:f>
              <c:numCache>
                <c:formatCode>General</c:formatCode>
                <c:ptCount val="2"/>
                <c:pt idx="0">
                  <c:v>2436.27</c:v>
                </c:pt>
                <c:pt idx="1">
                  <c:v>2436.27</c:v>
                </c:pt>
              </c:numCache>
            </c:numRef>
          </c:val>
        </c:ser>
        <c:dLbls>
          <c:showLegendKey val="0"/>
          <c:showVal val="1"/>
          <c:showCatName val="0"/>
          <c:showSerName val="0"/>
          <c:showPercent val="0"/>
          <c:showBubbleSize val="0"/>
        </c:dLbls>
        <c:gapWidth val="150"/>
        <c:overlap val="-25"/>
        <c:axId val="198741604"/>
        <c:axId val="659809240"/>
      </c:barChart>
      <c:catAx>
        <c:axId val="198741604"/>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59809240"/>
        <c:crosses val="autoZero"/>
        <c:auto val="1"/>
        <c:lblAlgn val="ctr"/>
        <c:lblOffset val="100"/>
        <c:noMultiLvlLbl val="0"/>
      </c:catAx>
      <c:valAx>
        <c:axId val="659809240"/>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9874160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f8fabf4d-fe28-4fcc-98e1-4f43b8a1d65e}"/>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48684210526316"/>
          <c:y val="0.0578703703703704"/>
          <c:w val="0.942105263157895"/>
          <c:h val="0.898148148148148"/>
        </c:manualLayout>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[2024年决算公开图形模板.xls]收入决算结构图!$B$6:$C$6</c:f>
              <c:strCache>
                <c:ptCount val="2"/>
                <c:pt idx="0">
                  <c:v>一般公共预算预算收入</c:v>
                </c:pt>
                <c:pt idx="1">
                  <c:v>事业收入</c:v>
                </c:pt>
              </c:strCache>
            </c:strRef>
          </c:cat>
          <c:val>
            <c:numRef>
              <c:f>[2024年决算公开图形模板.xls]收入决算结构图!$B$7:$C$7</c:f>
              <c:numCache>
                <c:formatCode>General</c:formatCode>
                <c:ptCount val="2"/>
                <c:pt idx="0">
                  <c:v>838.81</c:v>
                </c:pt>
                <c:pt idx="1">
                  <c:v>1597.46</c:v>
                </c:pt>
              </c:numCache>
            </c:numRef>
          </c:val>
        </c:ser>
        <c:dLbls>
          <c:showLegendKey val="0"/>
          <c:showVal val="1"/>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7140cc3d-e33b-4675-97f3-7499b79bba8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44254032258065"/>
          <c:y val="0.102801676593867"/>
          <c:w val="0.789566532258065"/>
          <c:h val="0.741230972865652"/>
        </c:manualLayout>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[2024年决算公开图形模板.xls]支出决算结构图!$D$27:$E$27</c:f>
              <c:strCache>
                <c:ptCount val="2"/>
                <c:pt idx="0">
                  <c:v>基本支出</c:v>
                </c:pt>
                <c:pt idx="1">
                  <c:v>项目支出</c:v>
                </c:pt>
              </c:strCache>
            </c:strRef>
          </c:cat>
          <c:val>
            <c:numRef>
              <c:f>[2024年决算公开图形模板.xls]支出决算结构图!$D$28:$E$28</c:f>
              <c:numCache>
                <c:formatCode>General</c:formatCode>
                <c:ptCount val="2"/>
                <c:pt idx="0">
                  <c:v>1984.66</c:v>
                </c:pt>
                <c:pt idx="1">
                  <c:v>451.61</c:v>
                </c:pt>
              </c:numCache>
            </c:numRef>
          </c:val>
        </c:ser>
        <c:dLbls>
          <c:showLegendKey val="0"/>
          <c:showVal val="1"/>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93cc23d6-c2b8-4ecd-ab6a-b4483395df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8436198409693"/>
          <c:y val="0.078310502283105"/>
          <c:w val="0.885195001893222"/>
          <c:h val="0.729543378995434"/>
        </c:manualLayout>
      </c:layout>
      <c:barChart>
        <c:barDir val="col"/>
        <c:grouping val="clustered"/>
        <c:varyColors val="0"/>
        <c:ser>
          <c:idx val="0"/>
          <c:order val="0"/>
          <c:tx>
            <c:strRef>
              <c:f>[2024年决算公开图形模板.xls]财政拨款收支图!$C$29</c:f>
              <c:strCache>
                <c:ptCount val="1"/>
                <c:pt idx="0">
                  <c:v>2023年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[2024年决算公开图形模板.xls]财政拨款收支图!$D$28:$E$28</c:f>
              <c:strCache>
                <c:ptCount val="2"/>
                <c:pt idx="0">
                  <c:v>财政拨款收入</c:v>
                </c:pt>
                <c:pt idx="1">
                  <c:v>财政拨款支出</c:v>
                </c:pt>
              </c:strCache>
            </c:strRef>
          </c:cat>
          <c:val>
            <c:numRef>
              <c:f>[2024年决算公开图形模板.xls]财政拨款收支图!$D$29:$E$29</c:f>
              <c:numCache>
                <c:formatCode>General</c:formatCode>
                <c:ptCount val="2"/>
                <c:pt idx="0">
                  <c:v>999.85</c:v>
                </c:pt>
                <c:pt idx="1">
                  <c:v>999.85</c:v>
                </c:pt>
              </c:numCache>
            </c:numRef>
          </c:val>
        </c:ser>
        <c:ser>
          <c:idx val="1"/>
          <c:order val="1"/>
          <c:tx>
            <c:strRef>
              <c:f>[2024年决算公开图形模板.xls]财政拨款收支图!$C$30</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[2024年决算公开图形模板.xls]财政拨款收支图!$D$28:$E$28</c:f>
              <c:strCache>
                <c:ptCount val="2"/>
                <c:pt idx="0">
                  <c:v>财政拨款收入</c:v>
                </c:pt>
                <c:pt idx="1">
                  <c:v>财政拨款支出</c:v>
                </c:pt>
              </c:strCache>
            </c:strRef>
          </c:cat>
          <c:val>
            <c:numRef>
              <c:f>[2024年决算公开图形模板.xls]财政拨款收支图!$D$30:$E$30</c:f>
              <c:numCache>
                <c:formatCode>General</c:formatCode>
                <c:ptCount val="2"/>
                <c:pt idx="0">
                  <c:v>838.81</c:v>
                </c:pt>
                <c:pt idx="1">
                  <c:v>838.81</c:v>
                </c:pt>
              </c:numCache>
            </c:numRef>
          </c:val>
        </c:ser>
        <c:dLbls>
          <c:showLegendKey val="0"/>
          <c:showVal val="1"/>
          <c:showCatName val="0"/>
          <c:showSerName val="0"/>
          <c:showPercent val="0"/>
          <c:showBubbleSize val="0"/>
        </c:dLbls>
        <c:gapWidth val="75"/>
        <c:overlap val="0"/>
        <c:axId val="704860503"/>
        <c:axId val="526064516"/>
      </c:barChart>
      <c:catAx>
        <c:axId val="704860503"/>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26064516"/>
        <c:crosses val="autoZero"/>
        <c:auto val="1"/>
        <c:lblAlgn val="ctr"/>
        <c:lblOffset val="100"/>
        <c:noMultiLvlLbl val="0"/>
      </c:catAx>
      <c:valAx>
        <c:axId val="52606451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7048605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6b63381d-fceb-484d-9ad5-4090283609f2}"/>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[2024年决算公开图形模板.xls]一般公共预算财政拨款支出!$E$29</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[2024年决算公开图形模板.xls]一般公共预算财政拨款支出!$D$30:$D$31</c:f>
              <c:strCache>
                <c:ptCount val="2"/>
                <c:pt idx="0">
                  <c:v>2023年</c:v>
                </c:pt>
                <c:pt idx="1">
                  <c:v>2024年</c:v>
                </c:pt>
              </c:strCache>
            </c:strRef>
          </c:cat>
          <c:val>
            <c:numRef>
              <c:f>[2024年决算公开图形模板.xls]一般公共预算财政拨款支出!$E$30:$E$31</c:f>
              <c:numCache>
                <c:formatCode>General</c:formatCode>
                <c:ptCount val="2"/>
                <c:pt idx="0">
                  <c:v>999.85</c:v>
                </c:pt>
                <c:pt idx="1">
                  <c:v>838.81</c:v>
                </c:pt>
              </c:numCache>
            </c:numRef>
          </c:val>
        </c:ser>
        <c:dLbls>
          <c:showLegendKey val="0"/>
          <c:showVal val="1"/>
          <c:showCatName val="0"/>
          <c:showSerName val="0"/>
          <c:showPercent val="0"/>
          <c:showBubbleSize val="0"/>
        </c:dLbls>
        <c:gapWidth val="260"/>
        <c:overlap val="-32"/>
        <c:axId val="534063274"/>
        <c:axId val="847607808"/>
      </c:barChart>
      <c:catAx>
        <c:axId val="5340632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607808"/>
        <c:crosses val="autoZero"/>
        <c:auto val="1"/>
        <c:lblAlgn val="ctr"/>
        <c:lblOffset val="100"/>
        <c:noMultiLvlLbl val="0"/>
      </c:catAx>
      <c:valAx>
        <c:axId val="84760780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406327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b1cdbe-50f9-4953-aa62-aa1e5e8c9a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540867684447806"/>
          <c:y val="0.0948095983307255"/>
          <c:w val="0.942158538188511"/>
          <c:h val="0.898148148148148"/>
        </c:manualLayout>
      </c:layout>
      <c:pie3DChart>
        <c:varyColors val="1"/>
        <c:ser>
          <c:idx val="0"/>
          <c:order val="0"/>
          <c:spPr/>
          <c:explosion val="0"/>
          <c:dPt>
            <c:idx val="0"/>
            <c:bubble3D val="0"/>
            <c:spPr>
              <a:solidFill>
                <a:schemeClr val="accent1"/>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[2024年决算公开图形模板.xls]Sheet2!$D$25</c:f>
              <c:strCache>
                <c:ptCount val="1"/>
                <c:pt idx="0">
                  <c:v>卫生健康支出</c:v>
                </c:pt>
              </c:strCache>
            </c:strRef>
          </c:cat>
          <c:val>
            <c:numRef>
              <c:f>[2024年决算公开图形模板.xls]Sheet2!$D$26</c:f>
              <c:numCache>
                <c:formatCode>General</c:formatCode>
                <c:ptCount val="1"/>
                <c:pt idx="0">
                  <c:v>838.81</c:v>
                </c:pt>
              </c:numCache>
            </c:numRef>
          </c:val>
        </c:ser>
        <c:dLbls>
          <c:showLegendKey val="0"/>
          <c:showVal val="1"/>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0a7a82a3-6fbd-4467-b1cf-8a02ae65d6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5410</Words>
  <Characters>5814</Characters>
  <Lines>61</Lines>
  <Paragraphs>17</Paragraphs>
  <TotalTime>9</TotalTime>
  <ScaleCrop>false</ScaleCrop>
  <LinksUpToDate>false</LinksUpToDate>
  <CharactersWithSpaces>5833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落葉知秋</cp:lastModifiedBy>
  <cp:lastPrinted>2025-08-06T17:34:00Z</cp:lastPrinted>
  <dcterms:modified xsi:type="dcterms:W3CDTF">2025-11-28T02:16:37Z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6DF4A9B9727B485F9CAD0931EF9BF20B_13</vt:lpwstr>
  </property>
  <property fmtid="{D5CDD505-2E9C-101B-9397-08002B2CF9AE}" pid="4" name="KSOTemplateDocerSaveRecord">
    <vt:lpwstr>eyJoZGlkIjoiMWY5Mjg4MjUzODgwMDIwNjRiMjMxMTcyMDEwYmZiNzAiLCJ1c2VySWQiOiI0MzMxNjg1OTYifQ==</vt:lpwstr>
  </property>
</Properties>
</file>